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ArbnErfG — Erfindungen</w:t>
      </w:r>
    </w:p>
    <w:p>
      <w:r>
        <w:rPr>
          <w:color w:val="555555"/>
          <w:sz w:val="18"/>
        </w:rPr>
        <w:t xml:space="preserve">Gesetz über Arbeitnehmererfindungen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Erfindungen im Sinne dieses Gesetzes sind nur Erfindungen, die patent- oder gebrauchsmusterfähig sind.</w:t>
      </w:r>
    </w:p>
    <w:p>
      <w:r>
        <w:rPr>
          <w:color w:val="555555"/>
          <w:sz w:val="17"/>
        </w:rPr>
        <w:t xml:space="preserve">Zitiervorschlag: § 2 ArbnErfG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https://recht.nulegal.eu/gesetze/ArbnErfG/2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