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ArbZustBauV</w:t>
      </w:r>
    </w:p>
    <w:p>
      <w:r>
        <w:rPr>
          <w:color w:val="555555"/>
          <w:sz w:val="18"/>
        </w:rPr>
        <w:t xml:space="preserve">Arbeitnehmer-Zuständigkeitsverordnung-Bau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Einkommensteuer des Arbeitnehmers, der von einem Unternehmer im Sinne des § 20a Abs. 1 oder 2 der Abgabenordnung im Inland beschäftigt ist und der seinen Wohnsitz im Ausland hat, ist das in § 1 Abs. 1 oder 2 der Umsatzsteuerzuständigkeitsverordnung für seinen Wohnsitzstaat genannte Finanzamt zuständig. Hat der Arbeitnehmer eines in der Republik Polen ansässigen Unternehmens im Sinne des § 20a Abs. 1 oder 2 der Abgabenordnung seinen Wohnsitz in der Republik Polen, ist für seine Einkommensteuer abweichend von Satz 1 das Finanzamt zuständig, das für seinen Arbeitgeber zuständig ist.</w:t>
      </w:r>
    </w:p>
    <w:p>
      <w:r>
        <w:rPr>
          <w:color w:val="555555"/>
          <w:sz w:val="17"/>
        </w:rPr>
        <w:t xml:space="preserve">Zitiervorschlag: § 1 ArbZustBauV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https://recht.nulegal.eu/gesetze/ArbZustBauV/1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