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ArbZG — Sonn- und Feiertagsruhe</w:t>
      </w:r>
    </w:p>
    <w:p>
      <w:r>
        <w:rPr>
          <w:color w:val="555555"/>
          <w:sz w:val="18"/>
        </w:rPr>
        <w:t xml:space="preserve">Arbeitszeitgesetz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Arbeitnehmer dürfen an Sonn- und gesetzlichen Feiertagen von 0 bis 24 Uhr nicht beschäftigt werden.</w:t>
      </w:r>
    </w:p>
    <w:p>
      <w:r>
        <w:t xml:space="preserve">(2) In mehrschichtigen Betrieben mit regelmäßiger Tag- und Nachtschicht kann Beginn oder Ende der Sonn- und Feiertagsruhe um bis zu sechs Stunden vor- oder zurückverlegt werden, wenn für die auf den Beginn der Ruhezeit folgenden 24 Stunden der Betrieb ruht.</w:t>
      </w:r>
    </w:p>
    <w:p>
      <w:r>
        <w:t xml:space="preserve">(3) Für Kraftfahrer und Beifahrer kann der Beginn der 24stündigen Sonn- und Feiertagsruhe um bis zu zwei Stunden vorverlegt werden.</w:t>
      </w:r>
    </w:p>
    <w:p>
      <w:r>
        <w:rPr>
          <w:color w:val="555555"/>
          <w:sz w:val="17"/>
        </w:rPr>
        <w:t xml:space="preserve">Zitiervorschlag: § 9 ArbZG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https://recht.nulegal.eu/gesetze/ArbZG/9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