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ArbZG — Strafvorschriften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der in § 22 Abs. 1 Nr. 1 bis 3, 5 bis 7 bezeichneten Handlungen</w:t>
      </w:r>
    </w:p>
    <w:p>
      <w:pPr>
        <w:ind w:left="420"/>
      </w:pPr>
      <w:r>
        <w:t xml:space="preserve">1. vorsätzlich begeht und dadurch Gesundheit oder Arbeitskraft eines Arbeitnehmers gefährdet oder</w:t>
      </w:r>
    </w:p>
    <w:p>
      <w:pPr>
        <w:ind w:left="420"/>
      </w:pPr>
      <w:r>
        <w:t xml:space="preserve">2. beharrlich wiederholt,</w:t>
      </w:r>
    </w:p>
    <w:p>
      <w:r>
        <w:t xml:space="preserve">wird mit Freiheitsstrafe bis zu einem Jahr oder mit Geldstrafe bestraft.</w:t>
      </w:r>
    </w:p>
    <w:p>
      <w:r>
        <w:t xml:space="preserve">(2) Wer in den Fällen des Absatzes 1 Nr. 1 die Gefahr fahrlässig verursacht, wird mit Freiheitsstrafe bis zu sechs Monaten oder mit Geldstrafe bis zu 180 Tagessätzen bestraft.</w:t>
      </w:r>
    </w:p>
    <w:p>
      <w:r>
        <w:rPr>
          <w:color w:val="555555"/>
          <w:sz w:val="17"/>
        </w:rPr>
        <w:t xml:space="preserve">Zitiervorschlag: § 23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