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ArbZG — Bußgeldvorschriften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als Arbeitgeber vorsätzlich oder fahrlässig</w:t>
      </w:r>
    </w:p>
    <w:p>
      <w:pPr>
        <w:ind w:left="420"/>
      </w:pPr>
      <w:r>
        <w:t xml:space="preserve">1. entgegen §§ 3, 6 Abs. 2 oder § 21a Abs. 4, jeweils auch in Verbindung mit § 11 Abs. 2, einen Arbeitnehmer über die Grenzen der Arbeitszeit hinaus beschäftigt,</w:t>
      </w:r>
    </w:p>
    <w:p>
      <w:pPr>
        <w:ind w:left="420"/>
      </w:pPr>
      <w:r>
        <w:t xml:space="preserve">2. entgegen § 4 Ruhepausen nicht, nicht mit der vorgeschriebenen Mindestdauer oder nicht rechtzeitig gewährt,</w:t>
      </w:r>
    </w:p>
    <w:p>
      <w:pPr>
        <w:ind w:left="420"/>
      </w:pPr>
      <w:r>
        <w:t xml:space="preserve">3. entgegen § 5 Abs. 1 die Mindestruhezeit nicht gewährt oder entgegen § 5 Abs. 2 die Verkürzung der Ruhezeit durch Verlängerung einer anderen Ruhezeit nicht oder nicht rechtzeitig ausgleicht,</w:t>
      </w:r>
    </w:p>
    <w:p>
      <w:pPr>
        <w:ind w:left="420"/>
      </w:pPr>
      <w:r>
        <w:t xml:space="preserve">4. einer Rechtsverordnung nach § 8 Satz 1, § 13 Abs. 1 oder 2, § 15 Absatz 2a Nummer 2, § 21 Absatz 1 oder § 24 zuwiderhandelt, soweit sie für einen bestimmten Tatbestand auf diese Bußgeldvorschrift verweist,</w:t>
      </w:r>
    </w:p>
    <w:p>
      <w:pPr>
        <w:ind w:left="420"/>
      </w:pPr>
      <w:r>
        <w:t xml:space="preserve">5. entgegen § 9 Abs. 1 einen Arbeitnehmer an Sonn- oder Feiertagen beschäftigt,</w:t>
      </w:r>
    </w:p>
    <w:p>
      <w:pPr>
        <w:ind w:left="420"/>
      </w:pPr>
      <w:r>
        <w:t xml:space="preserve">6. entgegen § 11 Abs. 1 einen Arbeitnehmer an allen Sonntagen beschäftigt oder entgegen § 11 Abs. 3 einen Ersatzruhetag nicht oder nicht rechtzeitig gewährt,</w:t>
      </w:r>
    </w:p>
    <w:p>
      <w:pPr>
        <w:ind w:left="420"/>
      </w:pPr>
      <w:r>
        <w:t xml:space="preserve">7. einer vollziehbaren Anordnung nach § 13 Abs. 3 Nr. 2 zuwiderhandelt,</w:t>
      </w:r>
    </w:p>
    <w:p>
      <w:pPr>
        <w:ind w:left="420"/>
      </w:pPr>
      <w:r>
        <w:t xml:space="preserve">8. entgegen § 16 Abs. 1 die dort bezeichnete Auslage oder den dort bezeichneten Aushang nicht vornimmt,</w:t>
      </w:r>
    </w:p>
    <w:p>
      <w:pPr>
        <w:ind w:left="420"/>
      </w:pPr>
      <w:r>
        <w:t xml:space="preserve">9. entgegen § 16 Abs. 2 oder § 21a Abs. 7 Aufzeichnungen nicht oder nicht richtig erstellt oder nicht für die vorgeschriebene Dauer aufbewahrt oder</w:t>
      </w:r>
    </w:p>
    <w:p>
      <w:pPr>
        <w:ind w:left="420"/>
      </w:pPr>
      <w:r>
        <w:t xml:space="preserve">10. entgegen § 17 Abs. 4 eine Auskunft nicht, nicht richtig oder nicht vollständig erteilt, Unterlagen nicht oder nicht vollständig vorlegt oder nicht einsendet oder entgegen § 17 Abs. 5 Satz 2 eine Maßnahme nicht gestattet.</w:t>
      </w:r>
    </w:p>
    <w:p>
      <w:r>
        <w:t xml:space="preserve">(2) Die Ordnungswidrigkeit kann in den Fällen des Absatzes 1 Nr. 1 bis 7, 9 und 10 mit einer Geldbuße bis zu dreißigtausend Euro, in den Fällen des Absatzes 1 Nr. 8 mit einer Geldbuße bis zu fünftausend Euro geahndet werden.</w:t>
      </w:r>
    </w:p>
    <w:p>
      <w:r>
        <w:rPr>
          <w:color w:val="555555"/>
          <w:sz w:val="17"/>
        </w:rPr>
        <w:t xml:space="preserve">Zitiervorschlag: § 22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