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ArbZG — Begriffsbestimmungen</w:t>
      </w:r>
    </w:p>
    <w:p>
      <w:r>
        <w:rPr>
          <w:color w:val="555555"/>
          <w:sz w:val="18"/>
        </w:rPr>
        <w:t xml:space="preserve">Arbeitszeitgesetz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Arbeitszeit im Sinne dieses Gesetzes ist die Zeit vom Beginn bis zum Ende der Arbeit ohne die Ruhepausen; Arbeitszeiten bei mehreren Arbeitgebern sind zusammenzurechnen. Im Bergbau unter Tage zählen die Ruhepausen zur Arbeitszeit.</w:t>
      </w:r>
    </w:p>
    <w:p>
      <w:r>
        <w:t xml:space="preserve">(2) Arbeitnehmer im Sinne dieses Gesetzes sind Arbeiter und Angestellte sowie die zu ihrer Berufsbildung Beschäftigten.</w:t>
      </w:r>
    </w:p>
    <w:p>
      <w:r>
        <w:t xml:space="preserve">(3) Nachtzeit im Sinne dieses Gesetzes ist die Zeit von 23 bis 6 Uhr, in Bäckereien und Konditoreien die Zeit von 22 bis 5 Uhr.</w:t>
      </w:r>
    </w:p>
    <w:p>
      <w:r>
        <w:t xml:space="preserve">(4) Nachtarbeit im Sinne dieses Gesetzes ist jede Arbeit, die mehr als zwei Stunden der Nachtzeit umfaßt.</w:t>
      </w:r>
    </w:p>
    <w:p>
      <w:r>
        <w:t xml:space="preserve">(5) Nachtarbeitnehmer im Sinne dieses Gesetzes sind Arbeitnehmer, die</w:t>
      </w:r>
    </w:p>
    <w:p>
      <w:pPr>
        <w:ind w:left="420"/>
      </w:pPr>
      <w:r>
        <w:t xml:space="preserve">1. auf Grund ihrer Arbeitszeitgestaltung normalerweise Nachtarbeit in Wechselschicht zu leisten haben oder</w:t>
      </w:r>
    </w:p>
    <w:p>
      <w:pPr>
        <w:ind w:left="420"/>
      </w:pPr>
      <w:r>
        <w:t xml:space="preserve">2. Nachtarbeit an mindestens 48 Tagen im Kalenderjahr leisten.</w:t>
      </w:r>
    </w:p>
    <w:p>
      <w:r>
        <w:rPr>
          <w:color w:val="555555"/>
          <w:sz w:val="17"/>
        </w:rPr>
        <w:t xml:space="preserve">Zitiervorschlag: § 2 ArbZG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https://recht.nulegal.eu/gesetze/ArbZG/2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