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ArbZG — Nichtanwendung des Gesetzes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ist nicht anzuwenden auf</w:t>
      </w:r>
    </w:p>
    <w:p>
      <w:pPr>
        <w:ind w:left="420"/>
      </w:pPr>
      <w:r>
        <w:t xml:space="preserve">1. leitende Angestellte im Sinne des § 5 Abs. 3 des Betriebsverfassungsgesetzes sowie Chefärzte,</w:t>
      </w:r>
    </w:p>
    <w:p>
      <w:pPr>
        <w:ind w:left="420"/>
      </w:pPr>
      <w:r>
        <w:t xml:space="preserve">2. Leiter von öffentlichen Dienststellen und deren Vertreter sowie Arbeitnehmer im öffentlichen Dienst, die zu selbständigen Entscheidungen in Personalangelegenheiten befugt sind,</w:t>
      </w:r>
    </w:p>
    <w:p>
      <w:pPr>
        <w:ind w:left="420"/>
      </w:pPr>
      <w:r>
        <w:t xml:space="preserve">3. Arbeitnehmer, die in häuslicher Gemeinschaft mit den ihnen anvertrauten Personen zusammenleben und sie eigenverantwortlich erziehen, pflegen oder betreuen,</w:t>
      </w:r>
    </w:p>
    <w:p>
      <w:pPr>
        <w:ind w:left="420"/>
      </w:pPr>
      <w:r>
        <w:t xml:space="preserve">4. den liturgischen Bereich der Kirchen und der Religionsgemeinschaften.</w:t>
      </w:r>
    </w:p>
    <w:p>
      <w:r>
        <w:t xml:space="preserve">(2) Für die Beschäftigung von Personen unter 18 Jahren gilt anstelle dieses Gesetzes das Jugendarbeitsschutzgesetz.</w:t>
      </w:r>
    </w:p>
    <w:p>
      <w:r>
        <w:t xml:space="preserve">(3) Für die Beschäftigung von Arbeitnehmern als Besatzungsmitglieder auf Kauffahrteischiffen im Sinne des § 3 des Seearbeitsgesetzes gilt anstelle dieses Gesetzes das Seearbeitsgesetz.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18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