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ArbZG — Aushang und Arbeitszeitnachweise</w:t>
      </w:r>
    </w:p>
    <w:p>
      <w:r>
        <w:rPr>
          <w:color w:val="555555"/>
          <w:sz w:val="18"/>
        </w:rPr>
        <w:t xml:space="preserve">Arbeitszeitgesetz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Der Arbeitgeber ist verpflichtet, eine Kopie dieses Gesetzes, der auf Grund dieses Gesetzes erlassenen, für den Betrieb geltenden Rechtsverordnungen und der für den Betrieb geltenden Tarifverträge und Betriebs- oder Dienstvereinbarungen im Sinne des § 7 Absatz 1 bis 3 und der §§ 12 und 21a Absatz 6 den Arbeitnehmern über die im Betrieb oder in der Dienststelle übliche Informations- und Kommunikationstechnik zur Verfügung zu stellen oder an geeigneter Stelle im Betrieb oder in der Dienststelle zur Einsichtnahme auszulegen oder auszuhängen.</w:t>
      </w:r>
    </w:p>
    <w:p>
      <w:r>
        <w:t xml:space="preserve">(2) Der Arbeitgeber ist verpflichtet, die über die werktägliche Arbeitszeit des § 3 Satz 1 hinausgehende Arbeitszeit der Arbeitnehmer aufzuzeichnen und ein Verzeichnis der Arbeitnehmer zu führen, die in eine Verlängerung der Arbeitszeit gemäß § 7 Abs. 7 eingewilligt haben. Die Nachweise sind mindestens zwei Jahre aufzubewahren.</w:t>
      </w:r>
    </w:p>
    <w:p>
      <w:r>
        <w:rPr>
          <w:color w:val="555555"/>
          <w:sz w:val="17"/>
        </w:rPr>
        <w:t xml:space="preserve">Zitiervorschlag: § 16 ArbZG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https://recht.nulegal.eu/gesetze/ArbZG/16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