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ArbZG — Zweck des Gesetzes</w:t>
      </w:r>
    </w:p>
    <w:p>
      <w:r>
        <w:rPr>
          <w:color w:val="555555"/>
          <w:sz w:val="18"/>
        </w:rPr>
        <w:t xml:space="preserve">Arbeitszeitgesetz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Zweck des Gesetzes ist es,</w:t>
      </w:r>
    </w:p>
    <w:p>
      <w:pPr>
        <w:ind w:left="420"/>
      </w:pPr>
      <w:r>
        <w:t xml:space="preserve">1. die Sicherheit und den Gesundheitsschutz der Arbeitnehmer in der Bundesrepublik Deutschland und in der ausschließlichen Wirtschaftszone bei der Arbeitszeitgestaltung zu gewährleisten und die Rahmenbedingungen für flexible Arbeitszeiten zu verbessern sowie</w:t>
      </w:r>
    </w:p>
    <w:p>
      <w:pPr>
        <w:ind w:left="420"/>
      </w:pPr>
      <w:r>
        <w:t xml:space="preserve">2. den Sonntag und die staatlich anerkannten Feiertage als Tage der Arbeitsruhe und der seelischen Erhebung der Arbeitnehmer zu schützen.</w:t>
      </w:r>
    </w:p>
    <w:p>
      <w:r>
        <w:rPr>
          <w:color w:val="555555"/>
          <w:sz w:val="17"/>
        </w:rPr>
        <w:t xml:space="preserve">Zitiervorschlag: § 1 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