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ArbStättV 2004 — Gefährdungsbeurteilung</w:t>
      </w:r>
    </w:p>
    <w:p>
      <w:r>
        <w:rPr>
          <w:color w:val="555555"/>
          <w:sz w:val="18"/>
        </w:rPr>
        <w:t xml:space="preserve">Arbeitsstättenverordnung</w:t>
      </w:r>
    </w:p>
    <w:p>
      <w:r>
        <w:rPr>
          <w:color w:val="555555"/>
          <w:sz w:val="18"/>
        </w:rPr>
        <w:t xml:space="preserve">Stand: 10.06.2019 (konsolidierte Textfassung, kein amtliches Inkrafttretensdatum)</w:t>
      </w:r>
    </w:p>
    <w:p>
      <w:r>
        <w:t xml:space="preserve">(1) Bei der Beurteilung der Arbeitsbedingungen nach § 5 des Arbeitsschutzgesetzes hat der Arbeitgeber zunächst festzustellen, ob die Beschäftigten Gefährdungen beim Einrichten und Betreiben von Arbeitsstätten ausgesetzt sind oder ausgesetzt sein können. Ist dies der Fall, hat er alle möglichen Gefährdungen der Sicherheit und der Gesundheit der Beschäftigten zu beurteilen und dabei die Auswirkungen der Arbeitsorganisation und der Arbeitsabläufe in der Arbeitsstätte zu berücksichtigen. Bei der Gefährdungsbeurteilung hat er die physischen und psychischen Belastungen sowie bei Bildschirmarbeitsplätzen insbesondere die Belastungen der Augen oder die Gefährdung des Sehvermögens der Beschäftigten zu berücksichtigen. Entsprechend dem Ergebnis der Gefährdungsbeurteilung hat der Arbeitgeber Maßnahmen zum Schutz der Beschäftigten gemäß den Vorschriften dieser Verordnung einschließlich ihres Anhangs nach dem Stand der Technik, Arbeitsmedizin und Hygiene festzulegen. Sonstige gesicherte arbeitswissenschaftliche Erkenntnisse sind zu berücksichtigen.</w:t>
      </w:r>
    </w:p>
    <w:p>
      <w:r>
        <w:t xml:space="preserve">(2) Der Arbeitgeber hat sicherzustellen, dass die Gefährdungsbeurteilung fachkundig durchgeführt wird. Verfügt der Arbeitgeber nicht selbst über die entsprechenden Kenntnisse, hat er sich fachkundig beraten zu lassen.</w:t>
      </w:r>
    </w:p>
    <w:p>
      <w:r>
        <w:t xml:space="preserve">(3) Der Arbeitgeber hat die Gefährdungsbeurteilung vor Aufnahme der Tätigkeiten zu dokumentieren. In der Dokumentation ist anzugeben, welche Gefährdungen am Arbeitsplatz auftreten können und welche Maßnahmen nach Absatz 1 Satz 4 durchgeführt werden müssen.</w:t>
      </w:r>
    </w:p>
    <w:p>
      <w:r>
        <w:rPr>
          <w:color w:val="555555"/>
          <w:sz w:val="17"/>
        </w:rPr>
        <w:t xml:space="preserve">Zitiervorschlag: § 3 ArbStättV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https://recht.nulegal.eu/gesetze/ArbSt%C3%A4ttV%202004/3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