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ArbSchV (Bayern)</w:t>
      </w:r>
    </w:p>
    <w:p>
      <w:r>
        <w:rPr>
          <w:color w:val="555555"/>
          <w:sz w:val="18"/>
        </w:rPr>
        <w:t xml:space="preserve">Arbeitsschutzverordnung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Mai 2009 in Kraft.</w:t>
      </w:r>
    </w:p>
    <w:p>
      <w:r>
        <w:t xml:space="preserve">(2) Mit Ablauf des 30. April 2009 tritt die Verordnung über die Anwendung der auf das Arbeitsschutzgesetz gestützten Rechtsverordnungen auf Beamte (Arbeitsschutzverordnung – ArbSchV) vom 28. Juli 1998 (GVBl S. 478, BayRS 2030-2-28-F) außer Kraft.</w:t>
      </w:r>
    </w:p>
    <w:p>
      <w:r>
        <w:rPr>
          <w:color w:val="555555"/>
          <w:sz w:val="17"/>
        </w:rPr>
        <w:t xml:space="preserve">Zitiervorschlag: § 4 ArbSchV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