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ArbSchV (Bayern)</w:t>
      </w:r>
    </w:p>
    <w:p>
      <w:r>
        <w:rPr>
          <w:color w:val="555555"/>
          <w:sz w:val="18"/>
        </w:rPr>
        <w:t xml:space="preserve">Arbeitsschutzverordnung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 Grund des § 18 des Gesetzes über die Durchführung von Maßnahmen des Arbeitsschutzes zur Verbesserung der Sicherheit und des Gesundheitsschutzes der Beschäftigten bei der Arbeit (Arbeitsschutzgesetz – ArbSchG) vom 7. August 1996 (BGBl. I S. 1246) in der jeweils geltenden Fassung erlassenen Rechtsverordnungen des Bundes finden Anwendung.</w:t>
      </w:r>
    </w:p>
    <w:p>
      <w:r>
        <w:rPr>
          <w:color w:val="555555"/>
          <w:sz w:val="17"/>
        </w:rPr>
        <w:t xml:space="preserve">Zitiervorschlag: § 2 ArbSchV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