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ArbSchV (Bayern)</w:t>
      </w:r>
    </w:p>
    <w:p>
      <w:r>
        <w:rPr>
          <w:color w:val="555555"/>
          <w:sz w:val="18"/>
        </w:rPr>
        <w:t xml:space="preserve">Arbeitsschutzverordnung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gilt für die Beamten, Beamtinnen, Dienstanfänger und Dienstanfängerinnen im Sinn des Bayerischen Beamtengesetzes. § 3 gilt auch für Arbeitnehmer und Arbeitnehmerinnen der Polizei, des Verfassungsschutzes, des Justizvollzugs und der Feuerwehr, soweit diese zu Tätigkeiten im Sinn des § 3 Abs. 1 herangezogen werden.</w:t>
      </w:r>
    </w:p>
    <w:p>
      <w:r>
        <w:rPr>
          <w:color w:val="555555"/>
          <w:sz w:val="17"/>
        </w:rPr>
        <w:t xml:space="preserve">Zitiervorschlag: § 1 ArbSchV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https://recht.nulegal.eu/gesetze/ArbSchV/1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