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ArbSchG — Dokumentation</w:t>
      </w:r>
    </w:p>
    <w:p>
      <w:r>
        <w:rPr>
          <w:color w:val="555555"/>
          <w:sz w:val="18"/>
        </w:rPr>
        <w:t xml:space="preserve">Arbeitsschutzgesetz</w:t>
      </w:r>
    </w:p>
    <w:p>
      <w:r>
        <w:rPr>
          <w:color w:val="555555"/>
          <w:sz w:val="18"/>
        </w:rPr>
        <w:t xml:space="preserve">Stand: 10.06.2019 (konsolidierte Textfassung, kein amtliches Inkrafttretensdatum)</w:t>
      </w:r>
    </w:p>
    <w:p>
      <w:r>
        <w:t xml:space="preserve">(1) Der Arbeitgeber muß über die je nach Art der Tätigkeiten und der Zahl der Beschäftigten erforderlichen Unterlagen verfügen, aus denen das Ergebnis der Gefährdungsbeurteilung, die von ihm festgelegten Maßnahmen des Arbeitsschutzes und das Ergebnis ihrer Überprüfung ersichtlich sind. Bei gleichartiger Gefährdungssituation ist es ausreichend, wenn die Unterlagen zusammengefaßte Angaben enthalten.</w:t>
      </w:r>
    </w:p>
    <w:p>
      <w:r>
        <w:t xml:space="preserve">(2) Unfälle in seinem Betrieb, bei denen ein Beschäftigter getötet oder so verletzt wird, daß er stirbt oder für mehr als drei Tage völlig oder teilweise arbeits- oder dienstunfähig wird, hat der Arbeitgeber zu erfassen.</w:t>
      </w:r>
    </w:p>
    <w:p>
      <w:r>
        <w:rPr>
          <w:color w:val="555555"/>
          <w:sz w:val="17"/>
        </w:rPr>
        <w:t xml:space="preserve">Zitiervorschlag: § 6 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https://recht.nulegal.eu/gesetze/ArbSchG/6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