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ArbSchG — Strafvorschriften</w:t>
      </w:r>
    </w:p>
    <w:p>
      <w:r>
        <w:rPr>
          <w:color w:val="555555"/>
          <w:sz w:val="18"/>
        </w:rPr>
        <w:t xml:space="preserve">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einem Jahr oder mit Geldstrafe wird bestraft, wer</w:t>
      </w:r>
    </w:p>
    <w:p>
      <w:pPr>
        <w:ind w:left="420"/>
      </w:pPr>
      <w:r>
        <w:t xml:space="preserve">1. eine in § 25 Abs. 1 Nr. 2 Buchstabe a bezeichnete Handlung beharrlich wiederholt oder</w:t>
      </w:r>
    </w:p>
    <w:p>
      <w:pPr>
        <w:ind w:left="420"/>
      </w:pPr>
      <w:r>
        <w:t xml:space="preserve">2. durch eine in § 25 Abs. 1 Nr. 1 oder Nr. 2 Buchstabe a bezeichnete vorsätzliche Handlung Leben oder Gesundheit eines Beschäftigten gefährdet.</w:t>
      </w:r>
    </w:p>
    <w:p>
      <w:r>
        <w:rPr>
          <w:color w:val="555555"/>
          <w:sz w:val="17"/>
        </w:rPr>
        <w:t xml:space="preserve">Zitiervorschlag: § 26 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https://recht.nulegal.eu/gesetze/ArbSchG/26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