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ArbSchG — Bußgeldvorschriften</w:t>
      </w:r>
    </w:p>
    <w:p>
      <w:r>
        <w:rPr>
          <w:color w:val="555555"/>
          <w:sz w:val="18"/>
        </w:rPr>
        <w:t xml:space="preserve">Arbeitsschutzgesetz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einer Rechtsverordnung nach § 18 Abs. 1 oder § 19 zuwiderhandelt, soweit sie für einen bestimmten Tatbestand auf diese Bußgeldvorschrift verweist, oder</w:t>
      </w:r>
    </w:p>
    <w:p>
      <w:pPr>
        <w:ind w:left="780"/>
      </w:pPr>
      <w:r>
        <w:t xml:space="preserve">a) als Arbeitgeber oder als verantwortliche Person einer vollziehbaren Anordnung nach § 22 Abs. 3 oder</w:t>
      </w:r>
    </w:p>
    <w:p>
      <w:pPr>
        <w:ind w:left="780"/>
      </w:pPr>
      <w:r>
        <w:t xml:space="preserve">b) als Beschäftigter einer vollziehbaren Anordnung nach § 22 Abs. 3 Satz 1 Nr. 1</w:t>
      </w:r>
    </w:p>
    <w:p>
      <w:pPr>
        <w:ind w:left="420"/>
      </w:pPr>
      <w:r>
        <w:t xml:space="preserve">zuwiderhandelt.</w:t>
      </w:r>
    </w:p>
    <w:p>
      <w:r>
        <w:t xml:space="preserve">(2) Die Ordnungswidrigkeit kann in den Fällen des Absatzes 1 Nr. 1 und 2 Buchstabe b mit einer Geldbuße bis zu fünftausend Euro, in den Fällen des Absatzes 1 Nr. 2 Buchstabe a mit einer Geldbuße bis zu dreißigtausend Euro geahndet werden.</w:t>
      </w:r>
    </w:p>
    <w:p>
      <w:r>
        <w:rPr>
          <w:color w:val="555555"/>
          <w:sz w:val="17"/>
        </w:rPr>
        <w:t xml:space="preserve">Zitiervorschlag: § 25 ArbSchG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https://recht.nulegal.eu/gesetze/ArbSchG/25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