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ArbSchG — Betriebliche Daten, Zusammenarbeit mit anderen Behörden, Jahresbericht, Bundesfachstelle</w:t>
      </w:r>
    </w:p>
    <w:p>
      <w:r>
        <w:rPr>
          <w:color w:val="555555"/>
          <w:sz w:val="18"/>
        </w:rPr>
        <w:t xml:space="preserve">Arbeitsschutzgesetz</w:t>
      </w:r>
    </w:p>
    <w:p>
      <w:r>
        <w:rPr>
          <w:color w:val="555555"/>
          <w:sz w:val="18"/>
        </w:rPr>
        <w:t xml:space="preserve">Stand: 31.12.2025 (konsolidierte Textfassung, kein amtliches Inkrafttretensdatum)</w:t>
      </w:r>
    </w:p>
    <w:p>
      <w:r>
        <w:t xml:space="preserve">(1) Der Arbeitgeber hat der zuständigen Behörde zu einem von ihr bestimmten Zeitpunkt Mitteilungen über</w:t>
      </w:r>
    </w:p>
    <w:p>
      <w:pPr>
        <w:ind w:left="420"/>
      </w:pPr>
      <w:r>
        <w:t xml:space="preserve">1. die Zahl der Beschäftigten und derer, an die er Heimarbeit vergibt, aufgegliedert nach Geschlecht, Alter und Staatsangehörigkeit,</w:t>
      </w:r>
    </w:p>
    <w:p>
      <w:pPr>
        <w:ind w:left="420"/>
      </w:pPr>
      <w:r>
        <w:t xml:space="preserve">2. den Namen oder die Bezeichnung und Anschrift des Betriebs, in dem er sie beschäftigt,</w:t>
      </w:r>
    </w:p>
    <w:p>
      <w:pPr>
        <w:ind w:left="420"/>
      </w:pPr>
      <w:r>
        <w:t xml:space="preserve">3. seinen Namen, seine Firma und seine Anschrift sowie</w:t>
      </w:r>
    </w:p>
    <w:p>
      <w:pPr>
        <w:ind w:left="420"/>
      </w:pPr>
      <w:r>
        <w:t xml:space="preserve">4. den Wirtschaftszweig, dem sein Betrieb angehört,</w:t>
      </w:r>
    </w:p>
    <w:p>
      <w:r>
        <w:t xml:space="preserve">zu machen. Das Bundesministerium für Arbeit und Soziales wird ermächtigt, durch Rechtsverordnung mit Zustimmung des Bundesrates zu bestimmen, daß die Stellen der Bundesverwaltung, denen der Arbeitgeber die in Satz 1 genannten Mitteilungen bereits auf Grund einer Rechtsvorschrift mitgeteilt hat, diese Angaben an die für die Behörden nach Satz 1 zuständigen obersten Landesbehörden als Schreiben oder auf maschinell verwertbaren Datenträgern oder durch Datenübertragung weiterzuleiten haben. In der Rechtsverordnung können das Nähere über die Form der weiterzuleitenden Angaben sowie die Frist für die Weiterleitung bestimmt werden. Die weitergeleiteten Angaben dürfen nur zur Erfüllung der in der Zuständigkeit der Behörden nach § 21 Abs. 1 liegenden Arbeitsschutzaufgaben verarbeitet werden.</w:t>
      </w:r>
    </w:p>
    <w:p>
      <w:r>
        <w:t xml:space="preserve">(2) Die mit der Überwachung beauftragten Personen dürfen die ihnen bei ihrer Überwachungstätigkeit zur Kenntnis gelangenden Geschäfts- und Betriebsgeheimnisse nur in den gesetzlich geregelten Fällen oder zur Verfolgung von Gesetzwidrigkeiten oder zur Erfüllung von gesetzlich geregelten Aufgaben zum Schutz der Versicherten dem Träger der gesetzlichen Unfallversicherung oder zum Schutz der Umwelt den dafür zuständigen Behörden offenbaren. Soweit es sich bei Geschäfts- und Betriebsgeheimnissen um Informationen über die Umwelt im Sinne des Umweltinformationsgesetzes handelt, richtet sich die Befugnis zu ihrer Offenbarung nach dem Umweltinformationsgesetz.</w:t>
      </w:r>
    </w:p>
    <w:p>
      <w:r>
        <w:t xml:space="preserve">(3) Ergeben sich im Einzelfall für die zuständigen Behörden konkrete Anhaltspunkte für</w:t>
      </w:r>
    </w:p>
    <w:p>
      <w:pPr>
        <w:ind w:left="420"/>
      </w:pPr>
      <w:r>
        <w:t xml:space="preserve">1. eine Beschäftigung oder Tätigkeit von Ausländern ohne den erforderlichen Aufenthaltstitel nach § 4a Absatz 5 Satz 1 des Aufenthaltsgesetzes, eine Erlaubnis oder Berechtigung nach § 4a Absatz 5 Satz 2 in Verbindung mit Absatz 4 des Aufenthaltsgesetzes, eine Aufenthaltsgestattung oder eine Duldung, die zur Ausübung der Beschäftigung berechtigen, oder eine Genehmigung nach § 284 Absatz 1 des Dritten Buches Sozialgesetzbuch,</w:t>
      </w:r>
    </w:p>
    <w:p>
      <w:pPr>
        <w:ind w:left="420"/>
      </w:pPr>
      <w:r>
        <w:t xml:space="preserve">2. Verstöße gegen die Mitwirkungspflicht nach § 60 Abs. 1 Satz 1 Nr. 2 des Ersten Buches Sozialgesetzbuch gegenüber einer Dienststelle der Bundesagentur für Arbeit, einem Träger der gesetzlichen Kranken-, Pflege-, Unfall- oder Rentenversicherung oder einem Träger der Sozialhilfe oder gegen die Meldepflicht nach § 8a des Asylbewerberleistungsgesetzes,</w:t>
      </w:r>
    </w:p>
    <w:p>
      <w:pPr>
        <w:ind w:left="420"/>
      </w:pPr>
      <w:r>
        <w:t xml:space="preserve">3. Verstöße gegen das Schwarzarbeitsbekämpfungsgesetz,</w:t>
      </w:r>
    </w:p>
    <w:p>
      <w:pPr>
        <w:ind w:left="420"/>
      </w:pPr>
      <w:r>
        <w:t xml:space="preserve">4. Verstöße gegen das Arbeitnehmerüberlassungsgesetz,</w:t>
      </w:r>
    </w:p>
    <w:p>
      <w:pPr>
        <w:ind w:left="420"/>
      </w:pPr>
      <w:r>
        <w:t xml:space="preserve">5. Verstöße gegen die Vorschriften des Vierten und Siebten Buches Sozialgesetzbuch über die Verpflichtung zur Zahlung von Sozialversicherungsbeiträgen,</w:t>
      </w:r>
    </w:p>
    <w:p>
      <w:pPr>
        <w:ind w:left="420"/>
      </w:pPr>
      <w:r>
        <w:t xml:space="preserve">6. Verstöße gegen das Aufenthaltsgesetz,</w:t>
      </w:r>
    </w:p>
    <w:p>
      <w:pPr>
        <w:ind w:left="420"/>
      </w:pPr>
      <w:r>
        <w:t xml:space="preserve">7. Verstöße gegen die Steuergesetze,</w:t>
      </w:r>
    </w:p>
    <w:p>
      <w:pPr>
        <w:ind w:left="420"/>
      </w:pPr>
      <w:r>
        <w:t xml:space="preserve">8. Verstöße gegen das Gesetz zur Sicherung von Arbeitnehmerrechten in der Fleischwirtschaft,</w:t>
      </w:r>
    </w:p>
    <w:p>
      <w:pPr>
        <w:ind w:left="420"/>
      </w:pPr>
      <w:r>
        <w:t xml:space="preserve">9. Verstöße gegen Vorgaben für Pakete mit erhöhtem Gewicht nach dem Postgesetz,</w:t>
      </w:r>
    </w:p>
    <w:p>
      <w:pPr>
        <w:ind w:left="420"/>
      </w:pPr>
      <w:r>
        <w:t xml:space="preserve">10. Verstöße gegen das Mindestlohngesetz,</w:t>
      </w:r>
    </w:p>
    <w:p>
      <w:pPr>
        <w:ind w:left="420"/>
      </w:pPr>
      <w:r>
        <w:t xml:space="preserve">11. Verstöße gegen das Arbeitnehmer-Entsendegesetz,</w:t>
      </w:r>
    </w:p>
    <w:p>
      <w:r>
        <w:t xml:space="preserve">unterrichten sie die für die Verfolgung und Ahndung zuständigen Behörden, die Träger der Sozialhilfe sowie die Behörden nach § 71 des Aufenthaltsgesetzes. In den Fällen des Satzes 1 arbeiten die zuständigen Behörden insbesondere mit den Agenturen für Arbeit, den Hauptzollämtern, den Rentenversicherungsträgern, den Krankenkassen als Einzugsstellen für die Sozialversicherungsbeiträge, den Trägern der gesetzlichen Unfallversicherung, den nach Landesrecht für die Verfolgung und Ahndung von Verstößen gegen das Gesetz zur Bekämpfung der Schwarzarbeit zuständigen Behörden, den Trägern der Sozialhilfe, den in § 71 des Aufenthaltsgesetzes genannten Behörden, den Finanzbehörden und der Bundesnetzagentur für Elektrizität, Gas, Telekommunikation, Post und Eisenbahnen zusammen.</w:t>
      </w:r>
    </w:p>
    <w:p>
      <w:r>
        <w:t xml:space="preserve">(3a) Leitet die Generalzolldirektion im Rahmen ihrer Funktion als Verbindungsbüro im Sinne des Artikels 4 Absatz 1 der Richtlinie 96/71/EG in der Fassung vom 28. Juni 2018 ein über das Binnenmarkt-Informationssystem eingehendes Ersuchen, das die Mindestarbeitsbedingungen nach Artikel 3 Absatz 1 Buchstabe e der Richtlinie 96/71/EG in der Fassung vom 28. Juni 2018 betrifft, an die zuständigen Behörden weiter, so können diese die zur Beantwortung erforderlichen Informationen an die Generalzolldirektion zur Weiterleitung an die ersuchenden Behörden übermitteln.</w:t>
      </w:r>
    </w:p>
    <w:p>
      <w:r>
        <w:t xml:space="preserve">(4) Die zuständigen obersten Landesbehörden haben über die Überwachungstätigkeit der ihnen unterstellten Behörden einen Jahresbericht zu veröffentlichen. Der Jahresbericht umfaßt auch Angaben zur Erfüllung von Unterrichtungspflichten aus internationalen Übereinkommen oder Rechtsakten der Europäischen Gemeinschaften, soweit sie den Arbeitsschutz betreffen.</w:t>
      </w:r>
    </w:p>
    <w:p>
      <w:r>
        <w:t xml:space="preserve">(5) Bei der Bundesanstalt für Arbeitsschutz und Arbeitsmedizin wird eine Bundesfachstelle für Sicherheit und Gesundheit bei der Arbeit eingerichtet. Sie hat die Aufgabe, die Jahresberichte der Länder einschließlich der Besichtigungsquote nach § 21 Absatz 1a auszuwerten und die Ergebnisse für den statistischen Bericht über den Stand von Sicherheit und Gesundheit bei der Arbeit und über das Unfall- und Berufskrankheitengeschehen in der Bundesrepublik Deutschland nach § 25 Absatz 1 des Siebten Buches Sozialgesetzbuch zusammenzufassen. Das Bundesministerium für Arbeit und Soziales kann die Arbeitsweise und das Verfahren der Bundesfachstelle für Sicherheit und Gesundheit bei der Arbeit im Errichtungserlass der Bundesanstalt für Arbeitsschutz und Arbeitsmedizin festlegen.</w:t>
      </w:r>
    </w:p>
    <w:p>
      <w:r>
        <w:rPr>
          <w:color w:val="555555"/>
          <w:sz w:val="17"/>
        </w:rPr>
        <w:t xml:space="preserve">Zitiervorschlag: § 23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