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ArbSchG — Gemeinsame deutsche Arbeitsschutzstrategie</w:t>
      </w:r>
    </w:p>
    <w:p>
      <w:r>
        <w:rPr>
          <w:color w:val="555555"/>
          <w:sz w:val="18"/>
        </w:rPr>
        <w:t xml:space="preserve">Arbeitsschutzgesetz</w:t>
      </w:r>
    </w:p>
    <w:p>
      <w:r>
        <w:rPr>
          <w:color w:val="555555"/>
          <w:sz w:val="18"/>
        </w:rPr>
        <w:t xml:space="preserve">Stand: 10.06.2019 (konsolidierte Textfassung, kein amtliches Inkrafttretensdatum)</w:t>
      </w:r>
    </w:p>
    <w:p>
      <w:r>
        <w:t xml:space="preserve">(1) Nach den Bestimmungen dieses Abschnitts entwickeln Bund, Länder und Unfallversicherungsträger im Interesse eines wirksamen Arbeitsschutzes eine gemeinsame deutsche Arbeitsschutzstrategie und gewährleisten ihre Umsetzung und Fortschreibung. Mit der Wahrnehmung der ihnen gesetzlich zugewiesenen Aufgaben zur Verhütung von Arbeitsunfällen, Berufskrankheiten und arbeitsbedingten Gesundheitsgefahren sowie zur menschengerechten Gestaltung der Arbeit tragen Bund, Länder und Unfallversicherungsträger dazu bei, die Ziele der gemeinsamen deutschen Arbeitsschutzstrategie zu erreichen.</w:t>
      </w:r>
    </w:p>
    <w:p>
      <w:r>
        <w:t xml:space="preserve">(2) Die gemeinsame deutsche Arbeitsschutzstrategie umfasst</w:t>
      </w:r>
    </w:p>
    <w:p>
      <w:pPr>
        <w:ind w:left="420"/>
      </w:pPr>
      <w:r>
        <w:t xml:space="preserve">1. die Entwicklung gemeinsamer Arbeitsschutzziele,</w:t>
      </w:r>
    </w:p>
    <w:p>
      <w:pPr>
        <w:ind w:left="420"/>
      </w:pPr>
      <w:r>
        <w:t xml:space="preserve">2. die Festlegung vorrangiger Handlungsfelder und von Eckpunkten für Arbeitsprogramme sowie deren Ausführung nach einheitlichen Grundsätzen,</w:t>
      </w:r>
    </w:p>
    <w:p>
      <w:pPr>
        <w:ind w:left="420"/>
      </w:pPr>
      <w:r>
        <w:t xml:space="preserve">3. die Evaluierung der Arbeitsschutzziele, Handlungsfelder und Arbeitsprogramme mit geeigneten Kennziffern,</w:t>
      </w:r>
    </w:p>
    <w:p>
      <w:pPr>
        <w:ind w:left="420"/>
      </w:pPr>
      <w:r>
        <w:t xml:space="preserve">4. die Festlegung eines abgestimmten Vorgehens der für den Arbeitsschutz zuständigen Landesbehörden und der Unfallversicherungsträger bei der Beratung und Überwachung der Betriebe,</w:t>
      </w:r>
    </w:p>
    <w:p>
      <w:pPr>
        <w:ind w:left="420"/>
      </w:pPr>
      <w:r>
        <w:t xml:space="preserve">5. die Herstellung eines verständlichen, überschaubaren und abgestimmten Vorschriften- und Regelwerks.</w:t>
      </w:r>
    </w:p>
    <w:p>
      <w:r>
        <w:rPr>
          <w:color w:val="555555"/>
          <w:sz w:val="17"/>
        </w:rPr>
        <w:t xml:space="preserve">Zitiervorschlag: § 20a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