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ArbSchG — Regelungen für den öffentlichen Dienst</w:t>
      </w:r>
    </w:p>
    <w:p>
      <w:r>
        <w:rPr>
          <w:color w:val="555555"/>
          <w:sz w:val="18"/>
        </w:rPr>
        <w:t xml:space="preserve">Arbeitsschutzgesetz</w:t>
      </w:r>
    </w:p>
    <w:p>
      <w:r>
        <w:rPr>
          <w:color w:val="555555"/>
          <w:sz w:val="18"/>
        </w:rPr>
        <w:t xml:space="preserve">Stand: 03.07.2020 (konsolidierte Textfassung, kein amtliches Inkrafttretensdatum)</w:t>
      </w:r>
    </w:p>
    <w:p>
      <w:r>
        <w:t xml:space="preserve">(1) Für die Beamten der Länder, Gemeinden und sonstigen Körperschaften, Anstalten und Stiftungen des öffentlichen Rechts regelt das Landesrecht, ob und inwieweit die nach § 18 erlassenen Rechtsverordnungen gelten.</w:t>
      </w:r>
    </w:p>
    <w:p>
      <w:r>
        <w:t xml:space="preserve">(2) Für bestimmte Tätigkeiten im öffentlichen Dienst des Bundes, insbesondere bei der Bundeswehr, der Polizei, den Zivil- und Katastrophenschutzdiensten, dem Zoll oder den Nachrichtendiensten, können das Bundeskanzleramt, das Bundesministerium des Innern, für Bau und Heimat, das Bundesministerium für Verkehr und digitale Infrastruktur, das Bundesministerium der Verteidigung oder das Bundesministerium der Finanzen, soweit sie hierfür jeweils zuständig sind, durch Rechtsverordnung ohne Zustimmung des Bundesrates bestimmen, daß Vorschriften dieses Gesetzes ganz oder zum Teil nicht anzuwenden sind, soweit öffentliche Belange dies zwingend erfordern, insbesondere zur Aufrechterhaltung oder Wiederherstellung der öffentlichen Sicherheit. Rechtsverordnungen nach Satz 1 werden im Einvernehmen mit dem Bundesministerium für Arbeit und Soziales und, soweit nicht das Bundesministerium des Innern, für Bau und Heimat selbst ermächtigt ist, im Einvernehmen mit diesem Ministerium erlassen. In den Rechtsverordnungen ist gleichzeitig festzulegen, wie die Sicherheit und der Gesundheitsschutz bei der Arbeit unter Berücksichtigung der Ziele dieses Gesetzes auf andere Weise gewährleistet werden. Für Tätigkeiten im öffentlichen Dienst der Länder, Gemeinden und sonstigen landesunmittelbaren Körperschaften, Anstalten und Stiftungen des öffentlichen Rechts können den Sätzen 1 und 3 entsprechende Regelungen durch Landesrecht getroffen werden.</w:t>
      </w:r>
    </w:p>
    <w:p>
      <w:r>
        <w:rPr>
          <w:color w:val="555555"/>
          <w:sz w:val="17"/>
        </w:rPr>
        <w:t xml:space="preserve">Zitiervorschlag: § 20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