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ArbSchG — Arbeitsmedizinische Vorsorge</w:t>
      </w:r>
    </w:p>
    <w:p>
      <w:r>
        <w:rPr>
          <w:color w:val="555555"/>
          <w:sz w:val="18"/>
        </w:rPr>
        <w:t xml:space="preserve">Arbeitsschutzgesetz</w:t>
      </w:r>
    </w:p>
    <w:p>
      <w:r>
        <w:rPr>
          <w:color w:val="555555"/>
          <w:sz w:val="18"/>
        </w:rPr>
        <w:t xml:space="preserve">Stand: 10.06.2019 (konsolidierte Textfassung, kein amtliches Inkrafttretensdatum)</w:t>
      </w:r>
    </w:p>
    <w:p>
      <w:r>
        <w:t xml:space="preserve">Der Arbeitgeber hat den Beschäftigten auf ihren Wunsch unbeschadet der Pflichten aus anderen Rechtsvorschriften zu ermöglichen, sich je nach den Gefahren für ihre Sicherheit und Gesundheit bei der Arbeit regelmäßig arbeitsmedizinisch untersuchen zu lassen, es sei denn, auf Grund der Beurteilung der Arbeitsbedingungen und der getroffenen Schutzmaßnahmen ist nicht mit einem Gesundheitsschaden zu rechnen.</w:t>
      </w:r>
    </w:p>
    <w:p>
      <w:r>
        <w:rPr>
          <w:color w:val="555555"/>
          <w:sz w:val="17"/>
        </w:rPr>
        <w:t xml:space="preserve">Zitiervorschlag: § 11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