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ArbSV — Inkrafttreten</w:t>
      </w:r>
    </w:p>
    <w:p>
      <w:r>
        <w:rPr>
          <w:color w:val="555555"/>
          <w:sz w:val="18"/>
        </w:rPr>
        <w:t xml:space="preserve">Verordnung über die Feststellung und Deckung des Arbeitskräftebedarfs nach dem Arbeitssicherstellungsgesetz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12 ArbSV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https://recht.nulegal.eu/gesetze/ArbSV/12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