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ArbPlSchGAbschn3V — Sonstige Bestimmungen</w:t>
      </w:r>
    </w:p>
    <w:p>
      <w:r>
        <w:rPr>
          <w:color w:val="555555"/>
          <w:sz w:val="18"/>
        </w:rPr>
        <w:t xml:space="preserve">Verordnung zum Dritten Abschnitt des Arbeitsplatzschutzgesetzes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Bundesminister der Verteidigung oder die von ihm beauftragten Stellen sowie der Bundesrechnungshof können beim Antragsteller zu den Erstattungsanträgen Auskünfte einholen und Unterlagen anfordern.</w:t>
      </w:r>
    </w:p>
    <w:p>
      <w:r>
        <w:t xml:space="preserve">(2) Die den Erstattungsantrag begründenden Unterlagen sind vom Antragsteller 3 Jahre aufzubewahren.</w:t>
      </w:r>
    </w:p>
    <w:p>
      <w:r>
        <w:t xml:space="preserve">(3) Die zu erstattenden Beiträge dürfen, sofern ein Nachweis über die Beitragszahlung nicht vorgelegt wird, nur unmittelbar an die Einrichtung der Alters- und Hinterbliebenenversorgung gezahlt werden.</w:t>
      </w:r>
    </w:p>
    <w:p>
      <w:r>
        <w:rPr>
          <w:color w:val="555555"/>
          <w:sz w:val="17"/>
        </w:rPr>
        <w:t xml:space="preserve">Zitiervorschlag: § 5 ArbPlSchGAbschn3V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https://recht.nulegal.eu/gesetze/ArbPlSchGAbschn3V/5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