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ArbPlSchG — Weiterzahlung des Arbeitsentgelts</w:t>
      </w:r>
    </w:p>
    <w:p>
      <w:r>
        <w:rPr>
          <w:color w:val="555555"/>
          <w:sz w:val="18"/>
        </w:rPr>
        <w:t xml:space="preserve">Arbeitsplatzschutzgesetz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Wird ein Arbeitnehmer nach Maßgabe des Wehrpflichtgesetzes von den Karrierecentern der Bundeswehr aufgefordert, sich persönlich zu melden oder vorzustellen, so hat der Arbeitgeber für die ausfallende Arbeitszeit das Arbeitsentgelt weiterzuzahlen.</w:t>
      </w:r>
    </w:p>
    <w:p>
      <w:r>
        <w:t xml:space="preserve">(2) Der Arbeitnehmer hat die Ladung unverzüglich seinem Arbeitgeber vorzulegen.</w:t>
      </w:r>
    </w:p>
    <w:p>
      <w:r>
        <w:t xml:space="preserve">(3) Die Absätze 1 und 2 gelten entsprechend für den Arbeitnehmer, der zu Dienstleistungen nach dem Vierten Abschnitt des Soldatengesetzes herangezogen werden soll.</w:t>
      </w:r>
    </w:p>
    <w:p>
      <w:r>
        <w:rPr>
          <w:color w:val="555555"/>
          <w:sz w:val="17"/>
        </w:rPr>
        <w:t xml:space="preserve">Zitiervorschlag: § 14 ArbPlSchG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https://recht.nulegal.eu/gesetze/ArbPlSchG/14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