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ArbPlSchG — Anrechnung des Wehrdienstes im späteren Berufsleben</w:t>
      </w:r>
    </w:p>
    <w:p>
      <w:r>
        <w:rPr>
          <w:color w:val="555555"/>
          <w:sz w:val="18"/>
        </w:rPr>
        <w:t xml:space="preserve">Arbeitsplatzschutzgesetz</w:t>
      </w:r>
    </w:p>
    <w:p>
      <w:r>
        <w:rPr>
          <w:color w:val="555555"/>
          <w:sz w:val="18"/>
        </w:rPr>
        <w:t xml:space="preserve">Stand: 10.06.2019 (konsolidierte Textfassung, kein amtliches Inkrafttretensdatum)</w:t>
      </w:r>
    </w:p>
    <w:p>
      <w:r>
        <w:t xml:space="preserve">(1) Die Zeit des Grundwehrdienstes und der Wehrübungen wird auf die bei der Zulassung zu weiterführenden Prüfungen im Beruf nachzuweisende Zeit einer mehrjährigen Tätigkeit nach der Lehrabschlussprüfung angerechnet, soweit eine Zeit von einem Jahr nicht unterschritten wird.</w:t>
      </w:r>
    </w:p>
    <w:p>
      <w:r>
        <w:t xml:space="preserve">(2) Beginnt ein entlassener Soldat im Anschluss an den Grundwehrdienst oder eine Wehrübung eine für den künftigen Beruf als Beamter oder Richter über die allgemein bildende Schulbildung hinausgehende vorgeschriebene Ausbildung (Hochschul-, Fachhochschul-, Fachschul- oder andere berufliche Ausbildung) oder wird diese durch den Grundwehrdienst oder durch Wehrübungen unterbrochen, so gelten für Beamte § 9 Abs. 8 Satz 4 und § 12 Abs. 2, für Richter § 9 Abs. 11 und § 12 Abs. 2 entsprechend, wenn er sich bis zum Ablauf von sechs Monaten nach Abschluss der Ausbildung um Einstellung als Beamter oder Richter bewirbt und auf Grund dieser Bewerbung eingestellt wird.</w:t>
      </w:r>
    </w:p>
    <w:p>
      <w:r>
        <w:t xml:space="preserve">(3) Für einen Arbeitnehmer, dessen Ausbildung für ein späteres Beamtenverhältnis durch eine festgesetzte mehrjährige Tätigkeit im Arbeitsverhältnis an Stelle des sonst vorgeschriebenen Vorbereitungsdienstes durchgeführt wird, gelten § 9 Abs. 8 Satz 4 und § 12 Abs. 2 entsprechend.</w:t>
      </w:r>
    </w:p>
    <w:p>
      <w:r>
        <w:rPr>
          <w:color w:val="555555"/>
          <w:sz w:val="17"/>
        </w:rPr>
        <w:t xml:space="preserve">Zitiervorschlag: § 13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