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ArbMedVV — Maßnahmen nach der arbeitsmedizinischen Vorsorge</w:t>
      </w:r>
    </w:p>
    <w:p>
      <w:r>
        <w:rPr>
          <w:color w:val="555555"/>
          <w:sz w:val="18"/>
        </w:rPr>
        <w:t xml:space="preserve">Verordnung zur arbeitsmedizinischen Vorsorge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Fall von § 6 Absatz 4 Satz 2 hat der Arbeitgeber die Gefährdungsbeurteilung zu überprüfen und unverzüglich die erforderlichen Maßnahmen des Arbeitsschutzes zu treffen. Wird ein Tätigkeitswechsel vorgeschlagen, so hat der Arbeitgeber nach Maßgabe der dienst- und arbeitsrechtlichen Regelungen dem oder der Beschäftigten eine andere Tätigkeit zuzuweisen.</w:t>
      </w:r>
    </w:p>
    <w:p>
      <w:r>
        <w:t xml:space="preserve">(2) Dem Betriebs- oder Personalrat und der zuständigen Behörde sind die getroffenen Maßnahmen mitzuteilen.</w:t>
      </w:r>
    </w:p>
    <w:p>
      <w:r>
        <w:t xml:space="preserve">(3) Halten der oder die Beschäftigte oder der Arbeitgeber das Ergebnis der Auswertung nach § 6 Absatz 4 für unzutreffend, so entscheidet auf Antrag die zuständige Behörde.</w:t>
      </w:r>
    </w:p>
    <w:p>
      <w:r>
        <w:rPr>
          <w:color w:val="555555"/>
          <w:sz w:val="17"/>
        </w:rPr>
        <w:t xml:space="preserve">Zitiervorschlag: § 8 ArbMedVV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https://recht.nulegal.eu/gesetze/ArbMedVV/8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