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ArbMedVV — Wunschvorsorge</w:t>
      </w:r>
    </w:p>
    <w:p>
      <w:r>
        <w:rPr>
          <w:color w:val="555555"/>
          <w:sz w:val="18"/>
        </w:rPr>
        <w:t xml:space="preserve">Verordnung zur arbeitsmedizinischen Vorsorge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Vorschriften des Anhangs hinaus hat der Arbeitgeber den Beschäftigten auf ihren Wunsch hin regelmäßig arbeitsmedizinische Vorsorge nach § 11 des Arbeitsschutzgesetzes zu ermöglichen, es sei denn, auf Grund der Beurteilung der Arbeitsbedingungen und der getroffenen Schutzmaßnahmen ist nicht mit einem Gesundheitsschaden zu rechnen.</w:t>
      </w:r>
    </w:p>
    <w:p>
      <w:r>
        <w:rPr>
          <w:color w:val="555555"/>
          <w:sz w:val="17"/>
        </w:rPr>
        <w:t xml:space="preserve">Zitiervorschlag: § 5a ArbMedVV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https://recht.nulegal.eu/gesetze/ArbMedVV/5a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