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ArbMedVV — Pflichtvorsorge</w:t>
      </w:r>
    </w:p>
    <w:p>
      <w:r>
        <w:rPr>
          <w:color w:val="555555"/>
          <w:sz w:val="18"/>
        </w:rPr>
        <w:t xml:space="preserve">Verordnung zur arbeitsmedizinischen Vorsorge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hat nach Maßgabe des Anhangs Pflichtvorsorge für die Beschäftigten zu veranlassen. Pflichtvorsorge muss vor Aufnahme der Tätigkeit und anschließend in regelmäßigen Abständen veranlasst werden.</w:t>
      </w:r>
    </w:p>
    <w:p>
      <w:r>
        <w:t xml:space="preserve">(2) Der Arbeitgeber darf eine Tätigkeit nur ausüben lassen, wenn der oder die Beschäftigte an der Pflichtvorsorge teilgenommen hat.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 ArbMedVV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https://recht.nulegal.eu/gesetze/ArbMedVV/4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