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ArbMedVV — Ordnungswidrigkeiten und Straftaten</w:t>
      </w:r>
    </w:p>
    <w:p>
      <w:r>
        <w:rPr>
          <w:color w:val="555555"/>
          <w:sz w:val="18"/>
        </w:rPr>
        <w:t xml:space="preserve">Verordnung zur arbeitsmedizinischen Vorsorge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25 Abs. 1 Nr. 1 des Arbeitsschutzgesetzes handelt, wer vorsätzlich oder fahrlässig</w:t>
      </w:r>
    </w:p>
    <w:p>
      <w:pPr>
        <w:ind w:left="420"/>
      </w:pPr>
      <w:r>
        <w:t xml:space="preserve">1. entgegen § 4 Abs. 1 eine Pflichtvorsorge nicht oder nicht rechtzeitig veranlasst,</w:t>
      </w:r>
    </w:p>
    <w:p>
      <w:pPr>
        <w:ind w:left="420"/>
      </w:pPr>
      <w:r>
        <w:t xml:space="preserve">2. entgegen § 4 Abs. 2 eine Tätigkeit ausüben lässt,</w:t>
      </w:r>
    </w:p>
    <w:p>
      <w:pPr>
        <w:ind w:left="420"/>
      </w:pPr>
      <w:r>
        <w:t xml:space="preserve">3. entgegen § 3 Absatz 4 Satz 1 Halbsatz 1 eine Vorsorgekartei nicht, nicht richtig oder nicht vollständig führt oder</w:t>
      </w:r>
    </w:p>
    <w:p>
      <w:pPr>
        <w:ind w:left="420"/>
      </w:pPr>
      <w:r>
        <w:t xml:space="preserve">4. entgegen § 5 Abs. 1 Satz 1 eine Angebotsvorsorge nicht oder nicht rechtzeitig anbietet.</w:t>
      </w:r>
    </w:p>
    <w:p>
      <w:r>
        <w:t xml:space="preserve">(2) Wer durch eine in Absatz 1 bezeichnete vorsätzliche Handlung Leben oder Gesundheit eines oder einer Beschäftigten gefährdet, ist nach § 26 Nr. 2 des Arbeitsschutzgesetzes strafbar.</w:t>
      </w:r>
    </w:p>
    <w:p>
      <w:r>
        <w:rPr>
          <w:color w:val="555555"/>
          <w:sz w:val="17"/>
        </w:rPr>
        <w:t xml:space="preserve">Zitiervorschlag: § 10 ArbMedVV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https://recht.nulegal.eu/gesetze/ArbMedVV/10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