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ArbMedVV — Ziel und Anwendungsbereich</w:t>
      </w:r>
    </w:p>
    <w:p>
      <w:r>
        <w:rPr>
          <w:color w:val="555555"/>
          <w:sz w:val="18"/>
        </w:rPr>
        <w:t xml:space="preserve">Verordnung zur arbeitsmedizinischen Vorsorge</w:t>
      </w:r>
    </w:p>
    <w:p>
      <w:r>
        <w:rPr>
          <w:color w:val="555555"/>
          <w:sz w:val="18"/>
        </w:rPr>
        <w:t xml:space="preserve">Stand: 10.06.2019 (konsolidierte Textfassung, kein amtliches Inkrafttretensdatum)</w:t>
      </w:r>
    </w:p>
    <w:p>
      <w:r>
        <w:t xml:space="preserve">(1) Ziel der Verordnung ist es, durch Maßnahmen der arbeitsmedizinischen Vorsorge arbeitsbedingte Erkrankungen einschließlich Berufskrankheiten frühzeitig zu erkennen und zu verhüten. Arbeitsmedizinische Vorsorge soll zugleich einen Beitrag zum Erhalt der Beschäftigungsfähigkeit und zur Fortentwicklung des betrieblichen Gesundheitsschutzes leisten.</w:t>
      </w:r>
    </w:p>
    <w:p>
      <w:r>
        <w:t xml:space="preserve">(2) Diese Verordnung gilt für die arbeitsmedizinische Vorsorge im Geltungsbereich des Arbeitsschutzgesetzes.</w:t>
      </w:r>
    </w:p>
    <w:p>
      <w:r>
        <w:t xml:space="preserve">(3) Diese Verordnung lässt sonstige arbeitsmedizinische Präventionsmaßnahmen, insbesondere nach dem Arbeitsschutzgesetz und dem Gesetz über Betriebsärzte, Sicherheitsingenieure und andere Fachkräfte für Arbeitssicherheit (Arbeitssicherheitsgesetz), unberührt.</w:t>
      </w:r>
    </w:p>
    <w:p>
      <w:r>
        <w:rPr>
          <w:color w:val="555555"/>
          <w:sz w:val="17"/>
        </w:rPr>
        <w:t xml:space="preserve">Zitiervorschlag: § 1 ArbMedVV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https://recht.nulegal.eu/gesetze/ArbMedVV/1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