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ArbMDFAngAusbV — Bestehende Berufsausbildungsverhältnisse</w:t>
      </w:r>
    </w:p>
    <w:p>
      <w:r>
        <w:rPr>
          <w:color w:val="555555"/>
          <w:sz w:val="18"/>
        </w:rPr>
        <w:t xml:space="preserve">Verordnung über die Berufsausbildung zum Fachangestellten für Arbeitsmarktdienstleistungen und zur Fachangestellten für Arbeitsmarktdienstleistungen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bestehen, können unter Anrechnung der bisher zurückgelegten Ausbildungszeit nach den Vorschriften dieser Verordnung fortgesetzt werden, wenn die Vertragsparteien dies vereinbaren.</w:t>
      </w:r>
    </w:p>
    <w:p>
      <w:r>
        <w:rPr>
          <w:color w:val="555555"/>
          <w:sz w:val="17"/>
        </w:rPr>
        <w:t xml:space="preserve">Zitiervorschlag: § 7 ArbMDFAngAusbV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https://recht.nulegal.eu/gesetze/ArbMDFAngAusbV/7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