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ArbGZV (Brandenburg) — Inkrafttreten, Außerkrafttreten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Zuständigkeiten im Bereich der Arbeitsgerichtsbarkeit vom 7. Dezember 2006 (GVBl. II S. 545), die durch die Verordnung vom 22. Juli 2013 (GVBl. II Nr. 56) geändert worden ist, außer Kraft.</w:t>
      </w:r>
    </w:p>
    <w:p>
      <w:r>
        <w:t xml:space="preserve">Potsdam, den 16. April 2026</w:t>
      </w:r>
    </w:p>
    <w:p>
      <w:r>
        <w:t xml:space="preserve">Der Minister der Justiz und für Digitalisierung</w:t>
      </w:r>
    </w:p>
    <w:p>
      <w:r>
        <w:t xml:space="preserve">Dr. Benjamin Grimm</w:t>
      </w:r>
    </w:p>
    <w:p>
      <w:r>
        <w:rPr>
          <w:color w:val="555555"/>
          <w:sz w:val="17"/>
        </w:rPr>
        <w:t xml:space="preserve">Zitiervorschlag: § 11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