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ArbGOrgG (Bayern) — Inkrafttreten</w:t>
      </w:r>
    </w:p>
    <w:p>
      <w:r>
        <w:rPr>
          <w:color w:val="555555"/>
          <w:sz w:val="18"/>
        </w:rPr>
        <w:t xml:space="preserve">Bayerisches Arbeitsgerichte-Organisationsgesetz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ist dringlich. Es tritt am 1. Juli 1973 in Kraft.</w:t>
      </w:r>
    </w:p>
    <w:p>
      <w:r>
        <w:t xml:space="preserve">(2) Abweichend von Absatz 1 tritt Art. 1 am 1. Januar 1974 in Kraft.</w:t>
      </w:r>
    </w:p>
    <w:p>
      <w:r>
        <w:t xml:space="preserve">[Amtl. Anm.:] Betrifft die ursprüngliche Fassung vom 12. Juni 1973 (GVBl. S. 311)</w:t>
      </w:r>
    </w:p>
    <w:p>
      <w:r>
        <w:rPr>
          <w:color w:val="555555"/>
          <w:sz w:val="17"/>
        </w:rPr>
        <w:t xml:space="preserve">Zitiervorschlag: Art 2 ArbGOrgG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https://recht.nulegal.eu/gesetze/ArbGOrgG/2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