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96a ArbGG — Sprungrechtsbeschwerde</w:t>
      </w:r>
    </w:p>
    <w:p>
      <w:r>
        <w:rPr>
          <w:color w:val="555555"/>
          <w:sz w:val="18"/>
        </w:rPr>
        <w:t xml:space="preserve">Arbeitsgerichtsgesetz</w:t>
      </w:r>
    </w:p>
    <w:p>
      <w:r>
        <w:rPr>
          <w:color w:val="555555"/>
          <w:sz w:val="18"/>
        </w:rPr>
        <w:t xml:space="preserve">Stand: 10.06.2019 (konsolidierte Textfassung, kein amtliches Inkrafttretensdatum)</w:t>
      </w:r>
    </w:p>
    <w:p>
      <w:r>
        <w:t xml:space="preserve">(1) Gegen den das Verfahren beendenden Beschluß eines Arbeitsgerichts kann unter Übergehung der Beschwerdeinstanz unmittelbar Rechtsbeschwerde eingelegt werden (Sprungrechtsbeschwerde), wenn die übrigen Beteiligten schriftlich zustimmen und wenn sie vom Arbeitsgericht wegen grundsätzlicher Bedeutung der Rechtssache auf Antrag in dem verfahrensbeendenden Beschluß oder nachträglich durch gesonderten Beschluß zugelassen wird. Der Antrag ist innerhalb einer Notfrist von einem Monat nach Zustellung des in vollständiger Form abgefaßten Beschlusses schriftlich zu stellen. Die Zustimmung der übrigen Beteiligten ist, wenn die Sprungrechtsbeschwerde in dem verfahrensbeendenden Beschluß zugelassen ist, der Rechtsbeschwerdeschrift, andernfalls dem Antrag beizufügen.</w:t>
      </w:r>
    </w:p>
    <w:p>
      <w:r>
        <w:t xml:space="preserve">(2) § 76 Abs. 2 Satz 2, 3, Abs. 3 bis 6 ist entsprechend anzuwenden.</w:t>
      </w:r>
    </w:p>
    <w:p>
      <w:r>
        <w:rPr>
          <w:color w:val="555555"/>
          <w:sz w:val="17"/>
        </w:rPr>
        <w:t xml:space="preserve">Zitiervorschlag: § 96a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https://recht.nulegal.eu/gesetze/ArbGG/96a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