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ArbGG — Entscheidung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Rechtsbeschwerde entscheidet das Bundesarbeitsgericht durch Beschluß. Die §§ 562, 563 der Zivilprozeßordnung gelten entsprechend.</w:t>
      </w:r>
    </w:p>
    <w:p>
      <w:r>
        <w:t xml:space="preserve">(2) Der Beschluß nebst Gründen ist von sämtlichen Mitgliedern des Senats zu unterschreiben und den Beteiligten zuzustellen.</w:t>
      </w:r>
    </w:p>
    <w:p>
      <w:r>
        <w:rPr>
          <w:color w:val="555555"/>
          <w:sz w:val="17"/>
        </w:rPr>
        <w:t xml:space="preserve">Zitiervorschlag: § 96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