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91 ArbGG — Entscheidung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Beschwerde entscheidet das Landesarbeitsgericht durch Beschluß. Eine Zurückverweisung ist nicht zulässig. § 84 Satz 2 gilt entsprechend.</w:t>
      </w:r>
    </w:p>
    <w:p>
      <w:r>
        <w:t xml:space="preserve">(2) Der Beschluß nebst Gründen ist von den Mitgliedern der Kammer zu unterschreiben und den Beteiligten zuzustellen. § 69 Abs. 1 Satz 2 gilt entsprechend.</w:t>
      </w:r>
    </w:p>
    <w:p>
      <w:r>
        <w:rPr>
          <w:color w:val="555555"/>
          <w:sz w:val="17"/>
        </w:rPr>
        <w:t xml:space="preserve">Zitiervorschlag: § 91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