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78a ArbGG — Abhilfe bei Verletzung des Anspruchs auf rechtliches Gehör</w:t>
      </w:r>
    </w:p>
    <w:p>
      <w:r>
        <w:rPr>
          <w:color w:val="555555"/>
          <w:sz w:val="18"/>
        </w:rPr>
        <w:t xml:space="preserve">Arbeitsgerichtsgesetz</w:t>
      </w:r>
    </w:p>
    <w:p>
      <w:r>
        <w:rPr>
          <w:color w:val="555555"/>
          <w:sz w:val="18"/>
        </w:rPr>
        <w:t xml:space="preserve">Stand: 01.01.2025 (konsolidierte Textfassung, kein amtliches Inkrafttretensdatum)</w:t>
      </w:r>
    </w:p>
    <w:p>
      <w:r>
        <w:t xml:space="preserve">(1) Auf die Rüge der durch die Entscheidung beschwerten Partei ist das Verfahren fortzuführen, wenn</w:t>
      </w:r>
    </w:p>
    <w:p>
      <w:pPr>
        <w:ind w:left="420"/>
      </w:pPr>
      <w:r>
        <w:t xml:space="preserve">1. ein Rechtsmittel oder ein anderer Rechtsbehelf gegen die Entscheidung nicht gegeben ist und</w:t>
      </w:r>
    </w:p>
    <w:p>
      <w:pPr>
        <w:ind w:left="420"/>
      </w:pPr>
      <w:r>
        <w:t xml:space="preserve">2. das Gericht den Anspruch dieser Partei auf rechtliches Gehör in entscheidungserheblicher Weise verletzt hat.</w:t>
      </w:r>
    </w:p>
    <w:p>
      <w:r>
        <w:t xml:space="preserve">Gegen eine der Endentscheidung vorausgehende Entscheidung findet die Rüge nicht statt.</w:t>
      </w:r>
    </w:p>
    <w:p>
      <w:r>
        <w:t xml:space="preserve">(2) Die Rüge ist innerhalb einer Notfrist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vierten Tage nach Aufgabe zur Post als bekannt gegeben. Die Rüge ist schriftlich bei dem Gericht zu erheben, dessen Entscheidung angegriffen wird. Die Rüge muss die angegriffene Entscheidung bezeichnen und das Vorliegen der in Absatz 1 Satz 1 Nr. 2 genannten Voraussetzungen darlegen.</w:t>
      </w:r>
    </w:p>
    <w:p>
      <w:r>
        <w:t xml:space="preserve">(3) Dem Gegner ist, soweit erforderlich, Gelegenheit zur Stellungnahme zu geben.</w:t>
      </w:r>
    </w:p>
    <w:p>
      <w:r>
        <w:t xml:space="preserve">(4) Das Gericht hat von Amts wegen zu prüfen, ob die Rüge an sich statthaft und ob sie in der gesetzlichen Form und Frist erhoben ist. Mangelt es an einem dieser Erfordernisse, so ist die Rüge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 Das Verfahren wird in die Lage zurückversetzt, in der es sich vor dem Schluss der mündlichen Verhandlung befand. § 343 der Zivilprozessordnung gilt entsprechend. In schriftlichen Verfahren tritt an die Stelle des Schlusses der mündlichen Verhandlung der Zeitpunkt, bis zu dem Schriftsätze eingereicht werden können.</w:t>
      </w:r>
    </w:p>
    <w:p>
      <w:r>
        <w:t xml:space="preserve">(6) Die Entscheidungen nach den Absätzen 4 und 5 erfolgen unter Hinzuziehung der ehrenamtlichen Richter. Die ehrenamtlichen Richter wirken nicht mit, wenn die Rüge als unzulässig verworfen wird oder sich gegen eine Entscheidung richtet, die ohne Hinzuziehung der ehrenamtlichen Richter erlassen wurde.</w:t>
      </w:r>
    </w:p>
    <w:p>
      <w:r>
        <w:t xml:space="preserve">(7) § 707 der Zivilprozessordnung ist unter der Voraussetzung entsprechend anzuwenden, dass der Beklagte glaubhaft macht, dass die Vollstreckung ihm einen nicht zu ersetzenden Nachteil bringen würde.</w:t>
      </w:r>
    </w:p>
    <w:p>
      <w:r>
        <w:t xml:space="preserve">(8) Auf das Beschlussverfahren finden die Absätze 1 bis 7 entsprechende Anwendung.</w:t>
      </w:r>
    </w:p>
    <w:p>
      <w:r>
        <w:rPr>
          <w:color w:val="555555"/>
          <w:sz w:val="17"/>
        </w:rPr>
        <w:t xml:space="preserve">Zitiervorschlag: § 78a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https://recht.nulegal.eu/gesetze/ArbGG/78a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