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ArbGG — Übermittlung von Urteilen in Tarifvertragssachen</w:t>
      </w:r>
    </w:p>
    <w:p>
      <w:r>
        <w:rPr>
          <w:color w:val="555555"/>
          <w:sz w:val="18"/>
        </w:rPr>
        <w:t xml:space="preserve">Arbeitsgerichtsgesetz</w:t>
      </w:r>
    </w:p>
    <w:p>
      <w:r>
        <w:rPr>
          <w:color w:val="555555"/>
          <w:sz w:val="18"/>
        </w:rPr>
        <w:t xml:space="preserve">Stand: 10.06.2019 (konsolidierte Textfassung, kein amtliches Inkrafttretensdatum)</w:t>
      </w:r>
    </w:p>
    <w:p>
      <w:r>
        <w:t xml:space="preserve">Rechtskräftige Urteile, die in bürgerlichen Rechtsstreitigkeiten zwischen Tarifvertragsparteien aus dem Tarifvertrag oder über das Bestehen oder Nichtbestehen des Tarifvertrags ergangen sind, sind alsbald der zuständigen obersten Landesbehörde und dem Bundesministerium für Arbeit und Soziales in vollständiger Form abschriftlich zu übersenden oder elektronisch zu übermitteln. Ist die zuständige oberste Landesbehörde die Landesjustizverwaltung, so sind die Urteilsabschriften oder das Urteil in elektronischer Form auch der obersten Arbeitsbehörde des Landes zu übermitteln.</w:t>
      </w:r>
    </w:p>
    <w:p>
      <w:r>
        <w:rPr>
          <w:color w:val="555555"/>
          <w:sz w:val="17"/>
        </w:rPr>
        <w:t xml:space="preserve">Zitiervorschlag: § 63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