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ArbGG — Inhalt des Urteils</w:t>
      </w:r>
    </w:p>
    <w:p>
      <w:r>
        <w:rPr>
          <w:color w:val="555555"/>
          <w:sz w:val="18"/>
        </w:rPr>
        <w:t xml:space="preserve">Arbeitsgerichtsgesetz</w:t>
      </w:r>
    </w:p>
    <w:p>
      <w:r>
        <w:rPr>
          <w:color w:val="555555"/>
          <w:sz w:val="18"/>
        </w:rPr>
        <w:t xml:space="preserve">Stand: 10.06.2019 (konsolidierte Textfassung, kein amtliches Inkrafttretensdatum)</w:t>
      </w:r>
    </w:p>
    <w:p>
      <w:r>
        <w:t xml:space="preserve">(1) Den Wert des Streitgegenstands setzt das Arbeitsgericht im Urteil fest.</w:t>
      </w:r>
    </w:p>
    <w:p>
      <w:r>
        <w:t xml:space="preserve">(2) Spricht das Urteil die Verpflichtung zur Vornahme einer Handlung aus, so ist der Beklagte auf Antrag des Klägers zugleich für den Fall, daß die Handlung nicht binnen einer bestimmten Frist vorgenommen ist, zur Zahlung einer vom Arbeitsgericht nach freiem Ermessen festzusetzenden Entschädigung zu verurteilen. Die Zwangsvollstreckung nach §§ 887 und 888 der Zivilprozeßordnung ist in diesem Fall ausgeschlossen.</w:t>
      </w:r>
    </w:p>
    <w:p>
      <w:r>
        <w:t xml:space="preserve">(3) Ein über den Grund des Anspruchs vorab entscheidendes Zwischenurteil ist wegen der Rechtsmittel nicht als Endurteil anzusehen.</w:t>
      </w:r>
    </w:p>
    <w:p>
      <w:r>
        <w:rPr>
          <w:color w:val="555555"/>
          <w:sz w:val="17"/>
        </w:rPr>
        <w:t xml:space="preserve">Zitiervorschlag: § 61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