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ArbGG — Beweisaufnahme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Soweit die Beweisaufnahme an der Gerichtsstelle möglich ist, erfolgt sie vor der Kammer. In den übrigen Fällen kann die Beweisaufnahme, unbeschadet des § 13, dem Vorsitzenden übertragen werden.</w:t>
      </w:r>
    </w:p>
    <w:p>
      <w:r>
        <w:t xml:space="preserve">(2) Zeugen und Sachverständige werden nur beeidigt, wenn die Kammer dies im Hinblick auf die Bedeutung des Zeugnisses für die Entscheidung des Rechtsstreits für notwendig erachtet. Im Falle des § 377 Abs. 3 der Zivilprozeßordnung ist die eidesstattliche Versicherung nur erforderlich, wenn die Kammer sie aus dem gleichen Grund für notwendig hält.</w:t>
      </w:r>
    </w:p>
    <w:p>
      <w:r>
        <w:t xml:space="preserve">(3) Insbesondere über die Zahl der in einem Arbeitsverhältnis stehenden Mitglieder oder das Vertretensein einer Gewerkschaft in einem Betrieb kann Beweis auch durch die Vorlegung öffentlicher Urkunden angetreten werden.</w:t>
      </w:r>
    </w:p>
    <w:p>
      <w:r>
        <w:t xml:space="preserve">(4) Der Vorsitzende kann auf Antrag oder von Amts wegen die Beweisaufnahmeper Bild- und Tonübertragung gestatten. Das Antragsrechtsteht den Verfahrensbeteiligten, Zeugen und Sachverständigen zu. § 50a Absatz 1, 3 und 4 gilt entsprechend. Satz 1 gilt nichtfür den Beweis durch Urkunden.</w:t>
      </w:r>
    </w:p>
    <w:p>
      <w:r>
        <w:t xml:space="preserve">(5) § 375 Absatz 1 Nummer 2 und 3 der Zivilprozessordnung ist entsprechend anzuwenden für den Fall, dass eine Zeugenvernehmung nach § 58 Absatz 4 nicht stattfindet. § 479 Absatz 1 der Zivilprozessordnung ist entsprechend anzuwenden für den Fall, dass die Leistung des Eides nach § 58 Absatz 4 nicht stattfindet. § 411 Absatz 3 der Zivilprozessordnung ist mit der Maßgabe anzuwenden, dass das Erscheinen des Sachverständigen auch als Teilnahme per Bild- und Tonübertragung nach § 50a gestattet werden kann. § 492 Absatz 3 der Zivilprozessordnung ist mit der Maßgabe anzuwenden, dass für den Erörterungstermin § 50a entsprechend gilt.</w:t>
      </w:r>
    </w:p>
    <w:p>
      <w:r>
        <w:rPr>
          <w:color w:val="555555"/>
          <w:sz w:val="17"/>
        </w:rPr>
        <w:t xml:space="preserve">Zitiervorschlag: § 58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