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ArbGG — Befugnisse des Vorsitzenden und der ehrenamtlichen Richter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nicht auf Grund einer mündlichen Verhandlung ergehenden Beschlüsse und Verfügungen erläßt, soweit nichts anderes bestimmt ist, der Vorsitzende allein. Entsprechendes gilt für Amtshandlungen auf Grund eines Rechtshilfeersuchens.</w:t>
      </w:r>
    </w:p>
    <w:p>
      <w:r>
        <w:t xml:space="preserve">(2) Im übrigen gelten für die Befugnisse des Vorsitzenden und der ehrenamtlichen Richter die Vorschriften der Zivilprozeßordnung über das landgerichtliche Verfahren entsprechend.</w:t>
      </w:r>
    </w:p>
    <w:p>
      <w:r>
        <w:rPr>
          <w:color w:val="555555"/>
          <w:sz w:val="17"/>
        </w:rPr>
        <w:t xml:space="preserve">Zitiervorschlag: § 53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