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ArbGG — Öffentlichkeit</w:t>
      </w:r>
    </w:p>
    <w:p>
      <w:r>
        <w:rPr>
          <w:color w:val="555555"/>
          <w:sz w:val="18"/>
        </w:rPr>
        <w:t xml:space="preserve">Arbeitsgerichtsgesetz</w:t>
      </w:r>
    </w:p>
    <w:p>
      <w:r>
        <w:rPr>
          <w:color w:val="555555"/>
          <w:sz w:val="18"/>
        </w:rPr>
        <w:t xml:space="preserve">Stand: 10.06.2019 (konsolidierte Textfassung, kein amtliches Inkrafttretensdatum)</w:t>
      </w:r>
    </w:p>
    <w:p>
      <w:r>
        <w:t xml:space="preserve">Die Verhandlungen vor dem erkennenden Gericht einschließlich der Beweisaufnahme und der Verkündung der Entscheidung ist öffentlich. Das Arbeitsgericht kann die Öffentlichkeit für die Verhandlung oder für einen Teil der Verhandlung ausschließen, wenn durch die Öffentlichkeit eine Gefährdung der öffentlichen Ordnung, insbesondere der Staatssicherheit, oder eine Gefährdung der Sittlichkeit zu besorgen ist oder wenn eine Partei den Ausschluß der Öffentlichkeit beantragt, weil Betriebs-, Geschäfts- oder Erfindungsgeheimnisse zum Gegenstand der Verhandlung oder der Beweisaufnahme gemacht werden; außerdem ist § 171b des Gerichtsverfassungsgesetzes entsprechend anzuwenden. Im Güteverfahren kann es die Öffentlichkeit auch aus Zweckmäßigkeitsgründen ausschließen. § 169 Absatz 1 Satz 2 bis 5, Absatz 2 und 4 sowie die §§ 173 bis 175 des Gerichtsverfassungsgesetzes sind entsprechend anzuwenden.</w:t>
      </w:r>
    </w:p>
    <w:p>
      <w:r>
        <w:rPr>
          <w:color w:val="555555"/>
          <w:sz w:val="17"/>
        </w:rPr>
        <w:t xml:space="preserve">Zitiervorschlag: § 52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