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51 ArbGG — Persönliches Erscheinen der Parteien</w:t>
      </w:r>
    </w:p>
    <w:p>
      <w:r>
        <w:rPr>
          <w:color w:val="555555"/>
          <w:sz w:val="18"/>
        </w:rPr>
        <w:t xml:space="preserve">Arbeitsgerichtsgesetz</w:t>
      </w:r>
    </w:p>
    <w:p>
      <w:r>
        <w:rPr>
          <w:color w:val="555555"/>
          <w:sz w:val="18"/>
        </w:rPr>
        <w:t xml:space="preserve">Stand: 20.07.2024 (konsolidierte Textfassung, kein amtliches Inkrafttretensdatum)</w:t>
      </w:r>
    </w:p>
    <w:p>
      <w:r>
        <w:t xml:space="preserve">(1) Der Vorsitzende kann das persönliche Erscheinen der Parteien in jeder Lage des Rechtsstreits anordnen. Als persönliches Erscheinen gilt auch die nach § 50a Absatz 2 Satz 1 gestattete Teilnahme per Bild- und Tonübertragung. Im übrigen finden die Vorschriften des § 141 Abs. 2 und 3 der Zivilprozeßordnung entsprechende Anwendung.</w:t>
      </w:r>
    </w:p>
    <w:p>
      <w:r>
        <w:t xml:space="preserve">(2) Der Vorsitzende kann die Zulassung eines Prozeßbevollmächtigten ablehnen, wenn die Partei trotz Anordnung ihres persönlichen Erscheinens unbegründet ausgeblieben ist und hierdurch der Zweck der Anordnung vereitelt wird. § 141 Abs. 3 Satz 2 und 3 der Zivilprozeßordnung findet entsprechende Anwendung.</w:t>
      </w:r>
    </w:p>
    <w:p>
      <w:r>
        <w:rPr>
          <w:color w:val="555555"/>
          <w:sz w:val="17"/>
        </w:rPr>
        <w:t xml:space="preserve">Zitiervorschlag: § 51 ArbGG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https://recht.nulegal.eu/gesetze/ArbGG/51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