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ArbGG — Zustellung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Urteile werden von Amts wegen binnen drei Wochen seit Übermittlung an die Geschäftsstelle zugestellt. § 317 Abs. 1 Satz 3 der Zivilprozeßordnung ist nicht anzuwenden.</w:t>
      </w:r>
    </w:p>
    <w:p>
      <w:r>
        <w:t xml:space="preserve">(2) Die §§ 173, 175 und 178 Absatz 1 Nummer 2 der Zivilprozessordnung sind auf die nach § 11 zur Prozessvertretung zugelassenen Personen entsprechend anzuwenden.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50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