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ArbGG — Rechtsweg und Zuständigkeit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Zulässigkeit des Rechtsweges und der Verfahrensart sowie für die sachliche und örtliche Zuständigkeit gelten die §§ 17 bis 17b des Gerichtsverfassungsgesetzes mit folgender Maßgabe entsprechend:</w:t>
      </w:r>
    </w:p>
    <w:p>
      <w:pPr>
        <w:ind w:left="420"/>
      </w:pPr>
      <w:r>
        <w:t xml:space="preserve">1. Beschlüsse entsprechend § 17a Abs. 2 und 3 des Gerichtsverfassungsgesetzes über die örtliche Zuständigkeit sind unanfechtbar.</w:t>
      </w:r>
    </w:p>
    <w:p>
      <w:pPr>
        <w:ind w:left="420"/>
      </w:pPr>
      <w:r>
        <w:t xml:space="preserve">2. Der Beschluß nach § 17a Abs. 4 des Gerichtsverfassungsgesetzes ergeht, sofern er nicht lediglich die örtliche Zuständigkeit zum Gegenstand hat, auch außerhalb der mündlichen Verhandlung stets durch die Kammer.</w:t>
      </w:r>
    </w:p>
    <w:p>
      <w:r>
        <w:t xml:space="preserve">(1a) Für Streitigkeiten nach § 2 Abs. 1 Nr. 3, 4a, 7, 8 und 10 sowie Abs. 2 ist auch das Arbeitsgericht zuständig, in dessen Bezirk der Arbeitnehmer gewöhnlich seine Arbeit verrichtet oder zuletzt gewöhnlich verrichtet hat. Ist ein gewöhnlicher Arbeitsort im Sinne des Satzes 1 nicht feststellbar, ist das Arbeitsgericht örtlich zuständig, von dessen Bezirk aus der Arbeitnehmer gewöhnlich seine Arbeit verrichtet oder zuletzt gewöhnlich verrichtet hat.</w:t>
      </w:r>
    </w:p>
    <w:p>
      <w:r>
        <w:t xml:space="preserve">(2) Die Tarifvertragsparteien können im Tarifvertrag die Zuständigkeit eines an sich örtlich unzuständigen Arbeitsgerichts festlegen für</w:t>
      </w:r>
    </w:p>
    <w:p>
      <w:pPr>
        <w:ind w:left="420"/>
      </w:pPr>
      <w:r>
        <w:t xml:space="preserve">1. bürgerliche Rechtsstreitigkeiten zwischen Arbeitnehmern und Arbeitgebern aus einem Arbeitsverhältnis und aus Verhandlungen über die Eingehung eines Arbeitsverhältnisses, das sich nach einem Tarifvertrag bestimmt,</w:t>
      </w:r>
    </w:p>
    <w:p>
      <w:pPr>
        <w:ind w:left="420"/>
      </w:pPr>
      <w:r>
        <w:t xml:space="preserve">2. bürgerliche Rechtsstreitigkeiten aus dem Verhältnis einer gemeinsamen Einrichtung der Tarifvertragsparteien zu den Arbeitnehmern oder Arbeitgebern.</w:t>
      </w:r>
    </w:p>
    <w:p>
      <w:r>
        <w:t xml:space="preserve">Im Geltungsbereich eines Tarifvertrags nach Satz 1 Nr. 1 gelten die tarifvertraglichen Bestimmungen über das örtlich zuständige Arbeitsgericht zwischen nicht tarifgebundenen Arbeitgebern und Arbeitnehmern, wenn die Anwendung des gesamten Tarifvertrags zwischen ihnen vereinbart ist. Die in § 38 Abs. 2 und 3 der Zivilprozeßordnung vorgesehenen Beschränkungen finden keine Anwendung.</w:t>
      </w:r>
    </w:p>
    <w:p>
      <w:r>
        <w:rPr>
          <w:color w:val="555555"/>
          <w:sz w:val="17"/>
        </w:rPr>
        <w:t xml:space="preserve">Zitiervorschlag: § 48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https://recht.nulegal.eu/gesetze/ArbGG/48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