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ArbGG — Sondervorschriften über Ladung und Einlassung *)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Klageschrift muß mindestens eine Woche vor dem Termin zugestellt sein.</w:t>
      </w:r>
    </w:p>
    <w:p>
      <w:r>
        <w:t xml:space="preserve">(2) Eine Aufforderung an den Beklagten, sich auf die Klage schriftlich zu äußern, erfolgt in der Regel nicht.</w:t>
      </w:r>
    </w:p>
    <w:p>
      <w:r>
        <w:rPr>
          <w:color w:val="555555"/>
          <w:sz w:val="17"/>
        </w:rPr>
        <w:t xml:space="preserve">Zitiervorschlag: § 47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