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46h ArbGG — Formfiktion</w:t>
      </w:r>
    </w:p>
    <w:p>
      <w:r>
        <w:rPr>
          <w:color w:val="555555"/>
          <w:sz w:val="18"/>
        </w:rPr>
        <w:t xml:space="preserve">Arbeitsgerichtsgesetz</w:t>
      </w:r>
    </w:p>
    <w:p>
      <w:r>
        <w:rPr>
          <w:color w:val="555555"/>
          <w:sz w:val="18"/>
        </w:rPr>
        <w:t xml:space="preserve">Stand: 18.07.2024 (konsolidierte Textfassung, kein amtliches Inkrafttretensdatum)</w:t>
      </w:r>
    </w:p>
    <w:p>
      <w:r>
        <w:t xml:space="preserve">Ist eine empfangsbedürftige Willenserklärung, die der schriftlichen oder elektronischen Form bedarf, klar erkennbar in einem vorbereitenden Schriftsatz enthalten, der als elektronisches Dokument nach § 46c bei Gericht eingereicht und dem Empfänger zugestellt oder mitgeteilt wurde, so gilt die Willenserklärung als in schriftlicher oder elektronischer Form zugegangen. Dies gilt auch dann, wenn die Ersetzung der schriftlichen Form durch die elektronische Form ausgeschlossen ist.</w:t>
      </w:r>
    </w:p>
    <w:p>
      <w:r>
        <w:rPr>
          <w:color w:val="555555"/>
          <w:sz w:val="17"/>
        </w:rPr>
        <w:t xml:space="preserve">Zitiervorschlag: § 46h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