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46b ArbGG — Europäisches Mahnverfahren nach der Verordnung (EG) Nr. 1896/2006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Europäische Mahnverfahren nach der Verordnung (EG) Nr. 1896/2006 des Europäischen Parlaments und des Rates vom 12. Dezember 2006 zur Einführung eines Europäischen Mahnverfahrens (ABl. EU Nr. L 399 S. 1) gelten die Vorschriften des Abschnitts 5 des Buchs 11 der Zivilprozessordnung entsprechend, soweit dieses Gesetz nichts anderes bestimmt.</w:t>
      </w:r>
    </w:p>
    <w:p>
      <w:r>
        <w:t xml:space="preserve">(2) Für die Bearbeitung von Anträgen auf Erlass und Überprüfung sowie die Vollstreckbarerklärung eines Europäischen Zahlungsbefehls nach der Verordnung (EG) Nr. 1896/2006 ist das Arbeitsgericht zuständig, das für die im Urteilsverfahren erhobene Klage zuständig sein würde.</w:t>
      </w:r>
    </w:p>
    <w:p>
      <w:r>
        <w:t xml:space="preserve">(3) Im Fall des Artikels 17 Abs. 1 der Verordnung (EG) Nr. 1896/2006 ist § 46a Abs. 4 und 5 entsprechend anzuwenden. Der Antrag auf Durchführung der mündlichen Verhandlung gilt als vom Antragsteller gestellt.</w:t>
      </w:r>
    </w:p>
    <w:p>
      <w:r>
        <w:rPr>
          <w:color w:val="555555"/>
          <w:sz w:val="17"/>
        </w:rPr>
        <w:t xml:space="preserve">Zitiervorschlag: § 46b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https://recht.nulegal.eu/gesetze/ArbGG/46b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