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44 ArbGG — Anhörung der ehrenamtlichen Richter, Geschäftsordnung</w:t>
      </w:r>
    </w:p>
    <w:p>
      <w:r>
        <w:rPr>
          <w:color w:val="555555"/>
          <w:sz w:val="18"/>
        </w:rPr>
        <w:t xml:space="preserve">Arbeitsgerichtsgesetz</w:t>
      </w:r>
    </w:p>
    <w:p>
      <w:r>
        <w:rPr>
          <w:color w:val="555555"/>
          <w:sz w:val="18"/>
        </w:rPr>
        <w:t xml:space="preserve">Stand: 10.06.2019 (konsolidierte Textfassung, kein amtliches Inkrafttretensdatum)</w:t>
      </w:r>
    </w:p>
    <w:p>
      <w:r>
        <w:t xml:space="preserve">(1) Bevor zu Beginn des Geschäftsjahrs die Geschäfte verteilt sowie die berufsrichterlichen Beisitzer und die ehrenamtlichen Richter den einzelnen Senaten und dem Großen Senat zugeteilt werden, sind je die beiden lebensältesten ehrenamtlichen Richter aus den Kreisen der Arbeitnehmer und der Arbeitgeber zu hören.</w:t>
      </w:r>
    </w:p>
    <w:p>
      <w:r>
        <w:t xml:space="preserve">(2) Der Geschäftsgang wird durch eine Geschäftsordnung geregelt, die das Präsidium beschließt. Absatz 1 gilt entsprechend.</w:t>
      </w:r>
    </w:p>
    <w:p>
      <w:r>
        <w:rPr>
          <w:color w:val="555555"/>
          <w:sz w:val="17"/>
        </w:rPr>
        <w:t xml:space="preserve">Zitiervorschlag: § 44 ArbGG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https://recht.nulegal.eu/gesetze/ArbGG/44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