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ArbGG — Bundesrichter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Berufung der Bundesrichter (Präsident, Vorsitzende Richter und berufsrichterliche Beisitzer nach § 41 Abs. 1 Satz 1) gelten die Vorschriften des Richterwahlgesetzes. Zuständiges Ministerium im Sinne des § 1 Abs. 1 des Richterwahlgesetzes ist das Bundesministerium für Arbeit und Soziales; es entscheidet im Benehmen mit dem Bundesministerium der Justiz und für Verbraucherschutz.</w:t>
      </w:r>
    </w:p>
    <w:p>
      <w:r>
        <w:t xml:space="preserve">(2) Die zu berufenden Personen müssen das fünfunddreißigste Lebensjahr vollendet haben.</w:t>
      </w:r>
    </w:p>
    <w:p>
      <w:r>
        <w:rPr>
          <w:color w:val="555555"/>
          <w:sz w:val="17"/>
        </w:rPr>
        <w:t xml:space="preserve">Zitiervorschlag: § 42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