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ArbGG — Heranziehung der ehrenamtlichen Richter</w:t>
      </w:r>
    </w:p>
    <w:p>
      <w:r>
        <w:rPr>
          <w:color w:val="555555"/>
          <w:sz w:val="18"/>
        </w:rPr>
        <w:t xml:space="preserve">Arbeitsgerichtsgesetz</w:t>
      </w:r>
    </w:p>
    <w:p>
      <w:r>
        <w:rPr>
          <w:color w:val="555555"/>
          <w:sz w:val="18"/>
        </w:rPr>
        <w:t xml:space="preserve">Stand: 10.06.2019 (konsolidierte Textfassung, kein amtliches Inkrafttretensdatum)</w:t>
      </w:r>
    </w:p>
    <w:p>
      <w:r>
        <w:t xml:space="preserve">Die ehrenamtlichen Richter sollen zu den Sitzungen nach der Reihenfolge einer Liste herangezogen werden, die der Vorsitzende vor Beginn des Geschäftsjahrs oder vor Beginn der Amtszeit neu berufener ehrenamtlicher Richter gemäß § 38 Satz 2 aufstellt. § 31 Abs. 2 ist entsprechend anzuwenden.</w:t>
      </w:r>
    </w:p>
    <w:p>
      <w:r>
        <w:rPr>
          <w:color w:val="555555"/>
          <w:sz w:val="17"/>
        </w:rPr>
        <w:t xml:space="preserve">Zitiervorschlag: § 39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